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4E13" w14:textId="77777777" w:rsidR="00F467BB" w:rsidRPr="00F467BB" w:rsidRDefault="00F467BB" w:rsidP="00F467B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tr-TR"/>
          <w14:ligatures w14:val="none"/>
        </w:rPr>
      </w:pPr>
      <w:r w:rsidRPr="00F467BB">
        <w:rPr>
          <w:rFonts w:ascii="Times New Roman" w:eastAsia="Times New Roman" w:hAnsi="Times New Roman" w:cs="Times New Roman"/>
          <w:b/>
          <w:bCs/>
          <w:color w:val="000000"/>
          <w:kern w:val="0"/>
          <w:sz w:val="36"/>
          <w:szCs w:val="36"/>
          <w:lang w:eastAsia="tr-TR"/>
          <w14:ligatures w14:val="none"/>
        </w:rPr>
        <w:t>FEAST Project – A2 Best Practice Collection Template</w:t>
      </w:r>
    </w:p>
    <w:p w14:paraId="281131E0" w14:textId="77777777" w:rsidR="007D6A6F" w:rsidRDefault="00F467BB" w:rsidP="00F467BB">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F467BB">
        <w:rPr>
          <w:rFonts w:ascii="Times New Roman" w:eastAsia="Times New Roman" w:hAnsi="Times New Roman" w:cs="Times New Roman"/>
          <w:b/>
          <w:bCs/>
          <w:color w:val="000000"/>
          <w:kern w:val="0"/>
          <w:lang w:eastAsia="tr-TR"/>
          <w14:ligatures w14:val="none"/>
        </w:rPr>
        <w:t>Partner Organisation:</w:t>
      </w:r>
      <w:r w:rsidRPr="00F467BB">
        <w:rPr>
          <w:rFonts w:ascii="Times New Roman" w:eastAsia="Times New Roman" w:hAnsi="Times New Roman" w:cs="Times New Roman"/>
          <w:color w:val="000000"/>
          <w:kern w:val="0"/>
          <w:lang w:eastAsia="tr-TR"/>
          <w14:ligatures w14:val="none"/>
        </w:rPr>
        <w:t> </w:t>
      </w:r>
      <w:r w:rsidR="007D6A6F" w:rsidRPr="007D6A6F">
        <w:rPr>
          <w:rFonts w:ascii="Times New Roman" w:eastAsia="Times New Roman" w:hAnsi="Times New Roman" w:cs="Times New Roman"/>
          <w:color w:val="000000"/>
          <w:kern w:val="0"/>
          <w:lang w:eastAsia="tr-TR"/>
          <w14:ligatures w14:val="none"/>
        </w:rPr>
        <w:t>Stowarzyszenie Przyjaciol Gimnazjum w Proszowicach</w:t>
      </w:r>
    </w:p>
    <w:p w14:paraId="6B2B09A3" w14:textId="4BB9F3B2" w:rsidR="00F467BB" w:rsidRPr="00F467BB" w:rsidRDefault="00F467BB" w:rsidP="00F467BB">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F467BB">
        <w:rPr>
          <w:rFonts w:ascii="Times New Roman" w:eastAsia="Times New Roman" w:hAnsi="Times New Roman" w:cs="Times New Roman"/>
          <w:b/>
          <w:bCs/>
          <w:color w:val="000000"/>
          <w:kern w:val="0"/>
          <w:lang w:eastAsia="tr-TR"/>
          <w14:ligatures w14:val="none"/>
        </w:rPr>
        <w:t>Country:</w:t>
      </w:r>
      <w:r w:rsidR="007D6A6F" w:rsidRPr="007D6A6F">
        <w:t xml:space="preserve"> </w:t>
      </w:r>
      <w:r w:rsidR="007D6A6F" w:rsidRPr="007D6A6F">
        <w:rPr>
          <w:rFonts w:ascii="Times New Roman" w:eastAsia="Times New Roman" w:hAnsi="Times New Roman" w:cs="Times New Roman"/>
          <w:color w:val="000000"/>
          <w:kern w:val="0"/>
          <w:lang w:eastAsia="tr-TR"/>
          <w14:ligatures w14:val="none"/>
        </w:rPr>
        <w:t>Poland</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Best Practice No.:</w:t>
      </w:r>
      <w:r w:rsidRPr="00F467BB">
        <w:rPr>
          <w:rFonts w:ascii="Times New Roman" w:eastAsia="Times New Roman" w:hAnsi="Times New Roman" w:cs="Times New Roman"/>
          <w:color w:val="000000"/>
          <w:kern w:val="0"/>
          <w:lang w:eastAsia="tr-TR"/>
          <w14:ligatures w14:val="none"/>
        </w:rPr>
        <w:t> </w:t>
      </w:r>
      <w:r w:rsidR="00D238C7">
        <w:rPr>
          <w:rFonts w:ascii="Times New Roman" w:eastAsia="Times New Roman" w:hAnsi="Times New Roman" w:cs="Times New Roman"/>
          <w:color w:val="000000"/>
          <w:kern w:val="0"/>
          <w:lang w:val="en-US" w:eastAsia="tr-TR"/>
          <w14:ligatures w14:val="none"/>
        </w:rPr>
        <w:t>1</w:t>
      </w:r>
      <w:r w:rsidR="00D238C7" w:rsidRPr="00D238C7">
        <w:rPr>
          <w:rFonts w:ascii="Times New Roman" w:eastAsia="Times New Roman" w:hAnsi="Times New Roman" w:cs="Times New Roman"/>
          <w:color w:val="000000"/>
          <w:kern w:val="0"/>
          <w:lang w:eastAsia="tr-TR"/>
          <w14:ligatures w14:val="none"/>
        </w:rPr>
        <w:t xml:space="preserve"> of 4</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Title of Best Practice:</w:t>
      </w:r>
      <w:r w:rsidRPr="00F467BB">
        <w:rPr>
          <w:rFonts w:ascii="Times New Roman" w:eastAsia="Times New Roman" w:hAnsi="Times New Roman" w:cs="Times New Roman"/>
          <w:color w:val="000000"/>
          <w:kern w:val="0"/>
          <w:lang w:eastAsia="tr-TR"/>
          <w14:ligatures w14:val="none"/>
        </w:rPr>
        <w:t> </w:t>
      </w:r>
      <w:r w:rsidR="007D6A6F" w:rsidRPr="007D6A6F">
        <w:rPr>
          <w:rFonts w:ascii="Times New Roman" w:eastAsia="Times New Roman" w:hAnsi="Times New Roman" w:cs="Times New Roman"/>
          <w:color w:val="000000"/>
          <w:kern w:val="0"/>
          <w:lang w:eastAsia="tr-TR"/>
          <w14:ligatures w14:val="none"/>
        </w:rPr>
        <w:t>"Koalicja Żywa Ziemia" (Living Earth Coalition)</w:t>
      </w:r>
    </w:p>
    <w:p w14:paraId="6D1DB124" w14:textId="77777777" w:rsidR="00F467BB" w:rsidRPr="00F467BB" w:rsidRDefault="00000000" w:rsidP="00F467B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w:pict w14:anchorId="78DDC81B">
          <v:rect id="_x0000_i1025" alt="" style="width:453.6pt;height:.05pt;mso-width-percent:0;mso-height-percent:0;mso-width-percent:0;mso-height-percent:0" o:hralign="center" o:hrstd="t" o:hr="t" fillcolor="#a0a0a0" stroked="f"/>
        </w:pict>
      </w:r>
    </w:p>
    <w:p w14:paraId="2721A6BE"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1. Overview</w:t>
      </w:r>
    </w:p>
    <w:p w14:paraId="0547DC1E" w14:textId="1ADD2EA9" w:rsidR="00F467BB" w:rsidRPr="00F467BB" w:rsidRDefault="007D6A6F" w:rsidP="00F467BB">
      <w:pPr>
        <w:spacing w:after="0" w:line="240" w:lineRule="auto"/>
        <w:rPr>
          <w:rFonts w:ascii="Times New Roman" w:eastAsia="Times New Roman" w:hAnsi="Times New Roman" w:cs="Times New Roman"/>
          <w:kern w:val="0"/>
          <w:lang w:eastAsia="tr-TR"/>
          <w14:ligatures w14:val="none"/>
        </w:rPr>
      </w:pPr>
      <w:r w:rsidRPr="007D6A6F">
        <w:rPr>
          <w:rFonts w:ascii="Times New Roman" w:eastAsia="Times New Roman" w:hAnsi="Times New Roman" w:cs="Times New Roman"/>
          <w:i/>
          <w:iCs/>
          <w:color w:val="000000"/>
          <w:kern w:val="0"/>
          <w:lang w:eastAsia="tr-TR"/>
          <w14:ligatures w14:val="none"/>
        </w:rPr>
        <w:t>"Koalicja Żywa Ziemia" (Living Earth Coalition) is a nationwide Polish initiative established in 2019 by a coalition of NGOs including Fundacja AgriNatura, Polish Society for the Protection of Birds (OTOP), and WWF Poland. The project promotes regenerative agriculture practices across Poland, focusing on soil health restoration, biodiversity enhancement, and environmentally sustainable food production. The coalition works directly with farmers, consumers, and policymakers to facilitate the transition toward agricultural systems that produce healthy food while protecting ecosystems. Their comprehensive approach includes farmer training, demonstration farms, consumer awareness campaigns, and policy advocacy</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6F52BEF3">
          <v:rect id="_x0000_i1026" alt="" style="width:453.6pt;height:.05pt;mso-width-percent:0;mso-height-percent:0;mso-width-percent:0;mso-height-percent:0" o:hralign="center" o:hrstd="t" o:hr="t" fillcolor="#a0a0a0" stroked="f"/>
        </w:pict>
      </w:r>
    </w:p>
    <w:p w14:paraId="30D421A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2. Objectives</w:t>
      </w:r>
    </w:p>
    <w:p w14:paraId="2FB8E3A7" w14:textId="77777777" w:rsidR="007D6A6F" w:rsidRPr="007D6A6F" w:rsidRDefault="007D6A6F" w:rsidP="007D6A6F">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7D6A6F">
        <w:rPr>
          <w:rFonts w:ascii="Times New Roman" w:eastAsia="Times New Roman" w:hAnsi="Times New Roman" w:cs="Times New Roman"/>
          <w:color w:val="000000"/>
          <w:kern w:val="0"/>
          <w:lang w:eastAsia="tr-TR"/>
          <w14:ligatures w14:val="none"/>
        </w:rPr>
        <w:t>To promote and implement regenerative agriculture practices among Polish farmers</w:t>
      </w:r>
    </w:p>
    <w:p w14:paraId="6302393C" w14:textId="77777777" w:rsidR="007D6A6F" w:rsidRPr="007D6A6F" w:rsidRDefault="007D6A6F" w:rsidP="007D6A6F">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7D6A6F">
        <w:rPr>
          <w:rFonts w:ascii="Times New Roman" w:eastAsia="Times New Roman" w:hAnsi="Times New Roman" w:cs="Times New Roman"/>
          <w:color w:val="000000"/>
          <w:kern w:val="0"/>
          <w:lang w:eastAsia="tr-TR"/>
          <w14:ligatures w14:val="none"/>
        </w:rPr>
        <w:t>To improve soil health and biodiversity on agricultural land</w:t>
      </w:r>
    </w:p>
    <w:p w14:paraId="675A9C25" w14:textId="77777777" w:rsidR="007D6A6F" w:rsidRPr="007D6A6F" w:rsidRDefault="007D6A6F" w:rsidP="007D6A6F">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7D6A6F">
        <w:rPr>
          <w:rFonts w:ascii="Times New Roman" w:eastAsia="Times New Roman" w:hAnsi="Times New Roman" w:cs="Times New Roman"/>
          <w:color w:val="000000"/>
          <w:kern w:val="0"/>
          <w:lang w:eastAsia="tr-TR"/>
          <w14:ligatures w14:val="none"/>
        </w:rPr>
        <w:t>To connect environmentally conscious consumers with farmers using sustainable practices</w:t>
      </w:r>
    </w:p>
    <w:p w14:paraId="38A9066B" w14:textId="1A25201E" w:rsidR="00F467BB" w:rsidRPr="007D6A6F" w:rsidRDefault="007D6A6F" w:rsidP="007D6A6F">
      <w:pPr>
        <w:pStyle w:val="ListParagraph"/>
        <w:numPr>
          <w:ilvl w:val="0"/>
          <w:numId w:val="9"/>
        </w:numPr>
        <w:spacing w:after="0" w:line="240" w:lineRule="auto"/>
        <w:rPr>
          <w:rFonts w:ascii="Times New Roman" w:eastAsia="Times New Roman" w:hAnsi="Times New Roman" w:cs="Times New Roman"/>
          <w:kern w:val="0"/>
          <w:lang w:eastAsia="tr-TR"/>
          <w14:ligatures w14:val="none"/>
        </w:rPr>
      </w:pPr>
      <w:r w:rsidRPr="007D6A6F">
        <w:rPr>
          <w:rFonts w:ascii="Times New Roman" w:eastAsia="Times New Roman" w:hAnsi="Times New Roman" w:cs="Times New Roman"/>
          <w:color w:val="000000"/>
          <w:kern w:val="0"/>
          <w:lang w:eastAsia="tr-TR"/>
          <w14:ligatures w14:val="none"/>
        </w:rPr>
        <w:t>To advocate for policies supporting sustainable food production systems</w:t>
      </w:r>
      <w:r w:rsidR="00000000">
        <w:rPr>
          <w:noProof/>
          <w:lang w:eastAsia="tr-TR"/>
        </w:rPr>
        <w:pict w14:anchorId="547455F4">
          <v:rect id="_x0000_i1027" alt="" style="width:453.6pt;height:.05pt;mso-width-percent:0;mso-height-percent:0;mso-width-percent:0;mso-height-percent:0" o:hralign="center" o:hrstd="t" o:hr="t" fillcolor="#a0a0a0" stroked="f"/>
        </w:pict>
      </w:r>
    </w:p>
    <w:p w14:paraId="476803E6"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3. Implementation Steps</w:t>
      </w:r>
    </w:p>
    <w:p w14:paraId="622928DF"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The coalition's implementation strategy focuses on building a national network of demonstration farms showcasing regenerative agriculture practices. They began by identifying pioneer farmers already using elements of regenerative farming and developing these sites as educational centers. A comprehensive training program was established, offering both theoretical knowledge and practical field experiences.</w:t>
      </w:r>
    </w:p>
    <w:p w14:paraId="6011EC9E"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The coalition developed a certification system that helps consumers identify products from farms using regenerative practices. This includes a dedicated label and verification process focused on soil health indicators, biodiversity measures, and farming practices.</w:t>
      </w:r>
    </w:p>
    <w:p w14:paraId="2AAF6209"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Regular field days and workshops bring farmers together to share experiences and learn from each other. The coalition also organizes consumer-focused events, including farm visits and markets, to build direct relationships between producers and consumers.</w:t>
      </w:r>
    </w:p>
    <w:p w14:paraId="17A14E79" w14:textId="2550B7AE" w:rsidR="00F467BB" w:rsidRPr="00F467BB" w:rsidRDefault="007D6A6F" w:rsidP="007D6A6F">
      <w:pPr>
        <w:spacing w:after="0" w:line="240" w:lineRule="auto"/>
        <w:rPr>
          <w:rFonts w:ascii="Times New Roman" w:eastAsia="Times New Roman" w:hAnsi="Times New Roman" w:cs="Times New Roman"/>
          <w:kern w:val="0"/>
          <w:lang w:eastAsia="tr-TR"/>
          <w14:ligatures w14:val="none"/>
        </w:rPr>
      </w:pPr>
      <w:r w:rsidRPr="007D6A6F">
        <w:rPr>
          <w:rFonts w:ascii="Times New Roman" w:eastAsia="Times New Roman" w:hAnsi="Times New Roman" w:cs="Times New Roman"/>
          <w:i/>
          <w:iCs/>
          <w:color w:val="000000"/>
          <w:kern w:val="0"/>
          <w:lang w:eastAsia="tr-TR"/>
          <w14:ligatures w14:val="none"/>
        </w:rPr>
        <w:t xml:space="preserve">The coalition has established regional coordinator positions who support local farmer networks and facilitate knowledge sharing. A digital platform provides resources, connects network members, and shares success stories. Policy work includes preparing position </w:t>
      </w:r>
      <w:r w:rsidRPr="007D6A6F">
        <w:rPr>
          <w:rFonts w:ascii="Times New Roman" w:eastAsia="Times New Roman" w:hAnsi="Times New Roman" w:cs="Times New Roman"/>
          <w:i/>
          <w:iCs/>
          <w:color w:val="000000"/>
          <w:kern w:val="0"/>
          <w:lang w:eastAsia="tr-TR"/>
          <w14:ligatures w14:val="none"/>
        </w:rPr>
        <w:lastRenderedPageBreak/>
        <w:t>papers, meeting with government officials, and building coalitions with other agricultural and environmental organizations.</w:t>
      </w:r>
      <w:r w:rsidR="00000000">
        <w:rPr>
          <w:rFonts w:ascii="Times New Roman" w:eastAsia="Times New Roman" w:hAnsi="Times New Roman" w:cs="Times New Roman"/>
          <w:noProof/>
          <w:kern w:val="0"/>
          <w:lang w:eastAsia="tr-TR"/>
        </w:rPr>
        <w:pict w14:anchorId="0E125E37">
          <v:rect id="_x0000_i1028" alt="" style="width:453.6pt;height:.05pt;mso-width-percent:0;mso-height-percent:0;mso-width-percent:0;mso-height-percent:0" o:hralign="center" o:hrstd="t" o:hr="t" fillcolor="#a0a0a0" stroked="f"/>
        </w:pict>
      </w:r>
    </w:p>
    <w:p w14:paraId="224C2C7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4. Target Group(s)</w:t>
      </w:r>
    </w:p>
    <w:p w14:paraId="29F91CAE"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Conventional farmers interested in transitioning to regenerative practices</w:t>
      </w:r>
    </w:p>
    <w:p w14:paraId="54CE1800"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Already-practicing ecological and regenerative farmers seeking community and market access</w:t>
      </w:r>
    </w:p>
    <w:p w14:paraId="017B9B36"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Consumers interested in sustainably produced food</w:t>
      </w:r>
    </w:p>
    <w:p w14:paraId="7DFE069C"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Food processors and retailers seeking sustainable suppliers</w:t>
      </w:r>
    </w:p>
    <w:p w14:paraId="15507E05"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Agricultural educators and advisors</w:t>
      </w:r>
    </w:p>
    <w:p w14:paraId="1A5E6480" w14:textId="4BFF41AF" w:rsidR="00F467BB" w:rsidRPr="00F467BB" w:rsidRDefault="007D6A6F" w:rsidP="007D6A6F">
      <w:pPr>
        <w:spacing w:after="0" w:line="240" w:lineRule="auto"/>
        <w:rPr>
          <w:rFonts w:ascii="Times New Roman" w:eastAsia="Times New Roman" w:hAnsi="Times New Roman" w:cs="Times New Roman"/>
          <w:kern w:val="0"/>
          <w:lang w:eastAsia="tr-TR"/>
          <w14:ligatures w14:val="none"/>
        </w:rPr>
      </w:pPr>
      <w:r w:rsidRPr="007D6A6F">
        <w:rPr>
          <w:rFonts w:ascii="Times New Roman" w:eastAsia="Times New Roman" w:hAnsi="Times New Roman" w:cs="Times New Roman"/>
          <w:i/>
          <w:iCs/>
          <w:color w:val="000000"/>
          <w:kern w:val="0"/>
          <w:lang w:eastAsia="tr-TR"/>
          <w14:ligatures w14:val="none"/>
        </w:rPr>
        <w:t>Policymakers in agriculture and environment sectors</w:t>
      </w:r>
      <w:r w:rsidR="00000000">
        <w:rPr>
          <w:rFonts w:ascii="Times New Roman" w:eastAsia="Times New Roman" w:hAnsi="Times New Roman" w:cs="Times New Roman"/>
          <w:noProof/>
          <w:kern w:val="0"/>
          <w:lang w:eastAsia="tr-TR"/>
        </w:rPr>
        <w:pict w14:anchorId="71B51F05">
          <v:rect id="_x0000_i1029" alt="" style="width:453.6pt;height:.05pt;mso-width-percent:0;mso-height-percent:0;mso-width-percent:0;mso-height-percent:0" o:hralign="center" o:hrstd="t" o:hr="t" fillcolor="#a0a0a0" stroked="f"/>
        </w:pict>
      </w:r>
    </w:p>
    <w:p w14:paraId="32422F9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5. Results &amp; Outcomes</w:t>
      </w:r>
    </w:p>
    <w:p w14:paraId="51BAB1DB" w14:textId="77777777" w:rsidR="007D6A6F" w:rsidRPr="007D6A6F" w:rsidRDefault="007D6A6F" w:rsidP="007D6A6F">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7D6A6F">
        <w:rPr>
          <w:rFonts w:ascii="Times New Roman" w:eastAsia="Times New Roman" w:hAnsi="Times New Roman" w:cs="Times New Roman"/>
          <w:color w:val="000000"/>
          <w:kern w:val="0"/>
          <w:lang w:eastAsia="tr-TR"/>
          <w14:ligatures w14:val="none"/>
        </w:rPr>
        <w:t>Quantitative results: The network has grown to include 48 demonstration farms across all Polish voivodeships, directly engaging more than 750 farmers in training programs. Over 15,000 hectares of farmland are now under regenerative management within the network. Soil organic matter on participating farms has increased by an average of 0.8% over three years. Consumer awareness campaigns have reached an estimated 3 million Poles through media coverage and events.</w:t>
      </w:r>
    </w:p>
    <w:p w14:paraId="0245F70E" w14:textId="77777777" w:rsidR="007D6A6F" w:rsidRPr="007D6A6F" w:rsidRDefault="007D6A6F" w:rsidP="007D6A6F">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7D6A6F">
        <w:rPr>
          <w:rFonts w:ascii="Times New Roman" w:eastAsia="Times New Roman" w:hAnsi="Times New Roman" w:cs="Times New Roman"/>
          <w:color w:val="000000"/>
          <w:kern w:val="0"/>
          <w:lang w:eastAsia="tr-TR"/>
          <w14:ligatures w14:val="none"/>
        </w:rPr>
        <w:t>Qualitative results: Participating farmers report improved resilience to extreme weather events, particularly drought resistance. Consumer surveys show increased understanding of connections between farming practices, environmental health, and food quality. The coalition has established productive dialogues with regional agricultural authorities, resulting in several policy adjustments to support regenerative transitions.</w:t>
      </w:r>
    </w:p>
    <w:p w14:paraId="24434E68" w14:textId="584E70EE" w:rsidR="00F467BB" w:rsidRPr="00D238C7" w:rsidRDefault="007D6A6F" w:rsidP="007D6A6F">
      <w:pPr>
        <w:pStyle w:val="ListParagraph"/>
        <w:numPr>
          <w:ilvl w:val="0"/>
          <w:numId w:val="8"/>
        </w:numPr>
        <w:spacing w:after="0" w:line="240" w:lineRule="auto"/>
        <w:rPr>
          <w:rFonts w:ascii="Times New Roman" w:eastAsia="Times New Roman" w:hAnsi="Times New Roman" w:cs="Times New Roman"/>
          <w:kern w:val="0"/>
          <w:lang w:eastAsia="tr-TR"/>
          <w14:ligatures w14:val="none"/>
        </w:rPr>
      </w:pPr>
      <w:r w:rsidRPr="007D6A6F">
        <w:rPr>
          <w:rFonts w:ascii="Times New Roman" w:eastAsia="Times New Roman" w:hAnsi="Times New Roman" w:cs="Times New Roman"/>
          <w:color w:val="000000"/>
          <w:kern w:val="0"/>
          <w:lang w:eastAsia="tr-TR"/>
          <w14:ligatures w14:val="none"/>
        </w:rPr>
        <w:t>Success stories: A group of cereal farmers in the Lublin region formed a cooperative after participating in coalition training, jointly invested in no-till equipment, and now markets their products under a regenerative brand that commands premium prices. A demonstration farm in Greater Poland has become an educational destination, hosting over 2,000 visitors annually including school groups, university students, and international delegations</w:t>
      </w:r>
      <w:r w:rsidR="00D238C7" w:rsidRPr="00D238C7">
        <w:rPr>
          <w:rFonts w:ascii="Times New Roman" w:eastAsia="Times New Roman" w:hAnsi="Times New Roman" w:cs="Times New Roman"/>
          <w:color w:val="000000"/>
          <w:kern w:val="0"/>
          <w:lang w:eastAsia="tr-TR"/>
          <w14:ligatures w14:val="none"/>
        </w:rPr>
        <w:t>.</w:t>
      </w:r>
      <w:r w:rsidR="00000000">
        <w:rPr>
          <w:noProof/>
          <w:lang w:eastAsia="tr-TR"/>
        </w:rPr>
        <w:pict w14:anchorId="4C74081D">
          <v:rect id="_x0000_i1030" alt="" style="width:453.6pt;height:.05pt;mso-width-percent:0;mso-height-percent:0;mso-width-percent:0;mso-height-percent:0" o:hralign="center" o:hrstd="t" o:hr="t" fillcolor="#a0a0a0" stroked="f"/>
        </w:pict>
      </w:r>
    </w:p>
    <w:p w14:paraId="4523A088"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6. Contribution to Sustainability</w:t>
      </w:r>
    </w:p>
    <w:p w14:paraId="098D85F4"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The initiative contributes to environmental sustainability through practices that build soil health, increase biodiversity, and reduce chemical inputs. Participating farms report average reductions of 60% in synthetic fertilizer use and 45% in pesticide applications. Carbon sequestration through improved soil organic matter represents a significant climate change mitigation benefit.</w:t>
      </w:r>
    </w:p>
    <w:p w14:paraId="1558A60E"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Water management improvements on regenerative farms show reduced runoff and increased water retention capacity, contributing to drought resilience and reduced water pollution. Biodiversity assessments show average increases of 35% in bird species diversity and 47% in beneficial insect populations on demonstration farms compared to conventional neighbors.</w:t>
      </w:r>
    </w:p>
    <w:p w14:paraId="5A4B59D6" w14:textId="04E71459" w:rsidR="00F467BB" w:rsidRPr="00F467BB" w:rsidRDefault="007D6A6F" w:rsidP="007D6A6F">
      <w:pPr>
        <w:spacing w:after="0" w:line="240" w:lineRule="auto"/>
        <w:rPr>
          <w:rFonts w:ascii="Times New Roman" w:eastAsia="Times New Roman" w:hAnsi="Times New Roman" w:cs="Times New Roman"/>
          <w:kern w:val="0"/>
          <w:lang w:eastAsia="tr-TR"/>
          <w14:ligatures w14:val="none"/>
        </w:rPr>
      </w:pPr>
      <w:r w:rsidRPr="007D6A6F">
        <w:rPr>
          <w:rFonts w:ascii="Times New Roman" w:eastAsia="Times New Roman" w:hAnsi="Times New Roman" w:cs="Times New Roman"/>
          <w:i/>
          <w:iCs/>
          <w:color w:val="000000"/>
          <w:kern w:val="0"/>
          <w:lang w:eastAsia="tr-TR"/>
          <w14:ligatures w14:val="none"/>
        </w:rPr>
        <w:lastRenderedPageBreak/>
        <w:t>Economic sustainability is addressed through reducing input costs while developing premium markets for regeneratively produced foods. Social sustainability aspects include knowledge sharing, community building among farmers, and reconnecting consumers with food production through direct marketing relationships.</w:t>
      </w:r>
      <w:r w:rsidR="00000000">
        <w:rPr>
          <w:rFonts w:ascii="Times New Roman" w:eastAsia="Times New Roman" w:hAnsi="Times New Roman" w:cs="Times New Roman"/>
          <w:noProof/>
          <w:kern w:val="0"/>
          <w:lang w:eastAsia="tr-TR"/>
        </w:rPr>
        <w:pict w14:anchorId="1A681FC6">
          <v:rect id="_x0000_i1031" alt="" style="width:453.6pt;height:.05pt;mso-width-percent:0;mso-height-percent:0;mso-width-percent:0;mso-height-percent:0" o:hralign="center" o:hrstd="t" o:hr="t" fillcolor="#a0a0a0" stroked="f"/>
        </w:pict>
      </w:r>
    </w:p>
    <w:p w14:paraId="17C23B57"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7. Transferability Potential</w:t>
      </w:r>
    </w:p>
    <w:p w14:paraId="7E6023D9"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The coalition's model is designed for adaptability across different agricultural regions and production systems. Key elements for successful transfer include:</w:t>
      </w:r>
    </w:p>
    <w:p w14:paraId="494C36A4"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p>
    <w:p w14:paraId="0BD90055"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A network of demonstration farms showing practices in real-world conditions</w:t>
      </w:r>
    </w:p>
    <w:p w14:paraId="1EEE6CAF"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Farmer-to-farmer knowledge exchange mechanisms</w:t>
      </w:r>
    </w:p>
    <w:p w14:paraId="3BCC4B11"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Connections to markets valuing sustainable production</w:t>
      </w:r>
    </w:p>
    <w:p w14:paraId="2768AEAF"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Adaptation of regenerative principles to local conditions and traditions</w:t>
      </w:r>
    </w:p>
    <w:p w14:paraId="76022B70"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r w:rsidRPr="007D6A6F">
        <w:rPr>
          <w:rFonts w:ascii="Times New Roman" w:eastAsia="Times New Roman" w:hAnsi="Times New Roman" w:cs="Times New Roman"/>
          <w:i/>
          <w:iCs/>
          <w:color w:val="000000"/>
          <w:kern w:val="0"/>
          <w:lang w:eastAsia="tr-TR"/>
          <w14:ligatures w14:val="none"/>
        </w:rPr>
        <w:t>Multistakeholder engagement including farmers, scientists, consumers, and policymakers</w:t>
      </w:r>
    </w:p>
    <w:p w14:paraId="4C496CE9" w14:textId="77777777" w:rsidR="007D6A6F" w:rsidRPr="007D6A6F" w:rsidRDefault="007D6A6F" w:rsidP="007D6A6F">
      <w:pPr>
        <w:spacing w:after="0" w:line="240" w:lineRule="auto"/>
        <w:rPr>
          <w:rFonts w:ascii="Times New Roman" w:eastAsia="Times New Roman" w:hAnsi="Times New Roman" w:cs="Times New Roman"/>
          <w:i/>
          <w:iCs/>
          <w:color w:val="000000"/>
          <w:kern w:val="0"/>
          <w:lang w:eastAsia="tr-TR"/>
          <w14:ligatures w14:val="none"/>
        </w:rPr>
      </w:pPr>
    </w:p>
    <w:p w14:paraId="5B63C6D0" w14:textId="40B9E94E" w:rsidR="00F467BB" w:rsidRPr="00F467BB" w:rsidRDefault="007D6A6F" w:rsidP="007D6A6F">
      <w:pPr>
        <w:spacing w:after="0" w:line="240" w:lineRule="auto"/>
        <w:rPr>
          <w:rFonts w:ascii="Times New Roman" w:eastAsia="Times New Roman" w:hAnsi="Times New Roman" w:cs="Times New Roman"/>
          <w:kern w:val="0"/>
          <w:lang w:eastAsia="tr-TR"/>
          <w14:ligatures w14:val="none"/>
        </w:rPr>
      </w:pPr>
      <w:r w:rsidRPr="007D6A6F">
        <w:rPr>
          <w:rFonts w:ascii="Times New Roman" w:eastAsia="Times New Roman" w:hAnsi="Times New Roman" w:cs="Times New Roman"/>
          <w:i/>
          <w:iCs/>
          <w:color w:val="000000"/>
          <w:kern w:val="0"/>
          <w:lang w:eastAsia="tr-TR"/>
          <w14:ligatures w14:val="none"/>
        </w:rPr>
        <w:t>The coalition has developed region-specific guidance documents for different Polish agricultural zones that could serve as templates for adaptation in other Eastern European contexts with similar agricultural conditions and challenges</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27979D3D">
          <v:rect id="_x0000_i1032" alt="" style="width:453.6pt;height:.05pt;mso-width-percent:0;mso-height-percent:0;mso-width-percent:0;mso-height-percent:0" o:hralign="center" o:hrstd="t" o:hr="t" fillcolor="#a0a0a0" stroked="f"/>
        </w:pict>
      </w:r>
    </w:p>
    <w:p w14:paraId="1DCEF4C1"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8. References &amp; Resources</w:t>
      </w:r>
    </w:p>
    <w:p w14:paraId="3866018D" w14:textId="77777777" w:rsidR="007D6A6F" w:rsidRPr="007D6A6F" w:rsidRDefault="007D6A6F" w:rsidP="007D6A6F">
      <w:pPr>
        <w:pStyle w:val="ListParagraph"/>
        <w:numPr>
          <w:ilvl w:val="0"/>
          <w:numId w:val="10"/>
        </w:numPr>
        <w:spacing w:after="0" w:line="240" w:lineRule="auto"/>
        <w:rPr>
          <w:rFonts w:ascii="Times New Roman" w:eastAsia="Times New Roman" w:hAnsi="Times New Roman" w:cs="Times New Roman"/>
          <w:color w:val="000000"/>
          <w:kern w:val="0"/>
          <w:lang w:eastAsia="tr-TR"/>
          <w14:ligatures w14:val="none"/>
        </w:rPr>
      </w:pPr>
      <w:r w:rsidRPr="007D6A6F">
        <w:rPr>
          <w:rFonts w:ascii="Times New Roman" w:eastAsia="Times New Roman" w:hAnsi="Times New Roman" w:cs="Times New Roman"/>
          <w:color w:val="000000"/>
          <w:kern w:val="0"/>
          <w:lang w:eastAsia="tr-TR"/>
          <w14:ligatures w14:val="none"/>
        </w:rPr>
        <w:t>Coalition website: https://koalicjazywaziemia.pl/</w:t>
      </w:r>
    </w:p>
    <w:p w14:paraId="79E69B6D" w14:textId="41D3BA56" w:rsidR="00F467BB" w:rsidRPr="007D6A6F" w:rsidRDefault="00000000" w:rsidP="007D6A6F">
      <w:pPr>
        <w:pStyle w:val="ListParagraph"/>
        <w:spacing w:after="0" w:line="240" w:lineRule="auto"/>
        <w:rPr>
          <w:rFonts w:ascii="Times New Roman" w:eastAsia="Times New Roman" w:hAnsi="Times New Roman" w:cs="Times New Roman"/>
          <w:kern w:val="0"/>
          <w:lang w:eastAsia="tr-TR"/>
          <w14:ligatures w14:val="none"/>
        </w:rPr>
      </w:pPr>
      <w:r>
        <w:rPr>
          <w:noProof/>
          <w:lang w:eastAsia="tr-TR"/>
        </w:rPr>
        <w:pict w14:anchorId="7E77EA60">
          <v:rect id="_x0000_i1033" alt="" style="width:453.6pt;height:.05pt;mso-width-percent:0;mso-height-percent:0;mso-width-percent:0;mso-height-percent:0" o:hralign="center" o:hrstd="t" o:hr="t" fillcolor="#a0a0a0" stroked="f"/>
        </w:pict>
      </w:r>
    </w:p>
    <w:p w14:paraId="1EE5A3AE"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9. Visuals (Optional)</w:t>
      </w:r>
    </w:p>
    <w:p w14:paraId="3C35DCC5" w14:textId="230E9E1D" w:rsidR="00A8077E" w:rsidRDefault="00A93C9F">
      <w:r>
        <w:t xml:space="preserve">  </w:t>
      </w:r>
      <w:r w:rsidR="007D6A6F">
        <w:rPr>
          <w:noProof/>
        </w:rPr>
        <w:drawing>
          <wp:inline distT="0" distB="0" distL="0" distR="0" wp14:anchorId="2B860E24" wp14:editId="036CBCD5">
            <wp:extent cx="4913630" cy="2765452"/>
            <wp:effectExtent l="0" t="0" r="1270" b="0"/>
            <wp:docPr id="2123885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1858" cy="2775711"/>
                    </a:xfrm>
                    <a:prstGeom prst="rect">
                      <a:avLst/>
                    </a:prstGeom>
                    <a:noFill/>
                  </pic:spPr>
                </pic:pic>
              </a:graphicData>
            </a:graphic>
          </wp:inline>
        </w:drawing>
      </w:r>
    </w:p>
    <w:sectPr w:rsidR="00A8077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2A25" w14:textId="77777777" w:rsidR="00D27CE7" w:rsidRDefault="00D27CE7" w:rsidP="00F467BB">
      <w:pPr>
        <w:spacing w:after="0" w:line="240" w:lineRule="auto"/>
      </w:pPr>
      <w:r>
        <w:separator/>
      </w:r>
    </w:p>
  </w:endnote>
  <w:endnote w:type="continuationSeparator" w:id="0">
    <w:p w14:paraId="74EA4073" w14:textId="77777777" w:rsidR="00D27CE7" w:rsidRDefault="00D27CE7" w:rsidP="00F4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D753" w14:textId="77777777" w:rsidR="00D27CE7" w:rsidRDefault="00D27CE7" w:rsidP="00F467BB">
      <w:pPr>
        <w:spacing w:after="0" w:line="240" w:lineRule="auto"/>
      </w:pPr>
      <w:r>
        <w:separator/>
      </w:r>
    </w:p>
  </w:footnote>
  <w:footnote w:type="continuationSeparator" w:id="0">
    <w:p w14:paraId="4B3EA722" w14:textId="77777777" w:rsidR="00D27CE7" w:rsidRDefault="00D27CE7" w:rsidP="00F4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308" w14:textId="6535B91D" w:rsidR="00F467BB" w:rsidRDefault="00F467B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1A3"/>
    <w:multiLevelType w:val="multilevel"/>
    <w:tmpl w:val="99D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E5762"/>
    <w:multiLevelType w:val="hybridMultilevel"/>
    <w:tmpl w:val="11B4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F5746"/>
    <w:multiLevelType w:val="hybridMultilevel"/>
    <w:tmpl w:val="D2D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80431"/>
    <w:multiLevelType w:val="hybridMultilevel"/>
    <w:tmpl w:val="E02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E7AFA"/>
    <w:multiLevelType w:val="multilevel"/>
    <w:tmpl w:val="1A1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B565D"/>
    <w:multiLevelType w:val="multilevel"/>
    <w:tmpl w:val="075A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224EB"/>
    <w:multiLevelType w:val="multilevel"/>
    <w:tmpl w:val="134C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34B87"/>
    <w:multiLevelType w:val="multilevel"/>
    <w:tmpl w:val="7FC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83A2F"/>
    <w:multiLevelType w:val="multilevel"/>
    <w:tmpl w:val="C40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C511E"/>
    <w:multiLevelType w:val="multilevel"/>
    <w:tmpl w:val="6F6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17228">
    <w:abstractNumId w:val="6"/>
  </w:num>
  <w:num w:numId="2" w16cid:durableId="1990599365">
    <w:abstractNumId w:val="9"/>
  </w:num>
  <w:num w:numId="3" w16cid:durableId="1756974071">
    <w:abstractNumId w:val="0"/>
  </w:num>
  <w:num w:numId="4" w16cid:durableId="323975245">
    <w:abstractNumId w:val="8"/>
  </w:num>
  <w:num w:numId="5" w16cid:durableId="1003892390">
    <w:abstractNumId w:val="4"/>
  </w:num>
  <w:num w:numId="6" w16cid:durableId="508329127">
    <w:abstractNumId w:val="5"/>
  </w:num>
  <w:num w:numId="7" w16cid:durableId="385296045">
    <w:abstractNumId w:val="7"/>
  </w:num>
  <w:num w:numId="8" w16cid:durableId="1866282368">
    <w:abstractNumId w:val="3"/>
  </w:num>
  <w:num w:numId="9" w16cid:durableId="1088696073">
    <w:abstractNumId w:val="2"/>
  </w:num>
  <w:num w:numId="10" w16cid:durableId="180828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BB"/>
    <w:rsid w:val="00030557"/>
    <w:rsid w:val="001B61E7"/>
    <w:rsid w:val="0029624A"/>
    <w:rsid w:val="00455AA6"/>
    <w:rsid w:val="00525DB3"/>
    <w:rsid w:val="005A0D35"/>
    <w:rsid w:val="00691A8F"/>
    <w:rsid w:val="007D6A6F"/>
    <w:rsid w:val="007F7705"/>
    <w:rsid w:val="00900EAD"/>
    <w:rsid w:val="009B64A4"/>
    <w:rsid w:val="00A8077E"/>
    <w:rsid w:val="00A93C9F"/>
    <w:rsid w:val="00D238C7"/>
    <w:rsid w:val="00D27CE7"/>
    <w:rsid w:val="00F46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B250"/>
  <w15:chartTrackingRefBased/>
  <w15:docId w15:val="{415A111A-ABE7-D648-804F-D78748A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6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6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6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BB"/>
    <w:rPr>
      <w:rFonts w:eastAsiaTheme="majorEastAsia" w:cstheme="majorBidi"/>
      <w:color w:val="272727" w:themeColor="text1" w:themeTint="D8"/>
    </w:rPr>
  </w:style>
  <w:style w:type="paragraph" w:styleId="Title">
    <w:name w:val="Title"/>
    <w:basedOn w:val="Normal"/>
    <w:next w:val="Normal"/>
    <w:link w:val="TitleChar"/>
    <w:uiPriority w:val="10"/>
    <w:qFormat/>
    <w:rsid w:val="00F4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BB"/>
    <w:pPr>
      <w:spacing w:before="160"/>
      <w:jc w:val="center"/>
    </w:pPr>
    <w:rPr>
      <w:i/>
      <w:iCs/>
      <w:color w:val="404040" w:themeColor="text1" w:themeTint="BF"/>
    </w:rPr>
  </w:style>
  <w:style w:type="character" w:customStyle="1" w:styleId="QuoteChar">
    <w:name w:val="Quote Char"/>
    <w:basedOn w:val="DefaultParagraphFont"/>
    <w:link w:val="Quote"/>
    <w:uiPriority w:val="29"/>
    <w:rsid w:val="00F467BB"/>
    <w:rPr>
      <w:i/>
      <w:iCs/>
      <w:color w:val="404040" w:themeColor="text1" w:themeTint="BF"/>
    </w:rPr>
  </w:style>
  <w:style w:type="paragraph" w:styleId="ListParagraph">
    <w:name w:val="List Paragraph"/>
    <w:basedOn w:val="Normal"/>
    <w:uiPriority w:val="34"/>
    <w:qFormat/>
    <w:rsid w:val="00F467BB"/>
    <w:pPr>
      <w:ind w:left="720"/>
      <w:contextualSpacing/>
    </w:pPr>
  </w:style>
  <w:style w:type="character" w:styleId="IntenseEmphasis">
    <w:name w:val="Intense Emphasis"/>
    <w:basedOn w:val="DefaultParagraphFont"/>
    <w:uiPriority w:val="21"/>
    <w:qFormat/>
    <w:rsid w:val="00F467BB"/>
    <w:rPr>
      <w:i/>
      <w:iCs/>
      <w:color w:val="0F4761" w:themeColor="accent1" w:themeShade="BF"/>
    </w:rPr>
  </w:style>
  <w:style w:type="paragraph" w:styleId="IntenseQuote">
    <w:name w:val="Intense Quote"/>
    <w:basedOn w:val="Normal"/>
    <w:next w:val="Normal"/>
    <w:link w:val="IntenseQuoteChar"/>
    <w:uiPriority w:val="30"/>
    <w:qFormat/>
    <w:rsid w:val="00F4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7BB"/>
    <w:rPr>
      <w:i/>
      <w:iCs/>
      <w:color w:val="0F4761" w:themeColor="accent1" w:themeShade="BF"/>
    </w:rPr>
  </w:style>
  <w:style w:type="character" w:styleId="IntenseReference">
    <w:name w:val="Intense Reference"/>
    <w:basedOn w:val="DefaultParagraphFont"/>
    <w:uiPriority w:val="32"/>
    <w:qFormat/>
    <w:rsid w:val="00F467BB"/>
    <w:rPr>
      <w:b/>
      <w:bCs/>
      <w:smallCaps/>
      <w:color w:val="0F4761" w:themeColor="accent1" w:themeShade="BF"/>
      <w:spacing w:val="5"/>
    </w:rPr>
  </w:style>
  <w:style w:type="character" w:styleId="Strong">
    <w:name w:val="Strong"/>
    <w:basedOn w:val="DefaultParagraphFont"/>
    <w:uiPriority w:val="22"/>
    <w:qFormat/>
    <w:rsid w:val="00F467BB"/>
    <w:rPr>
      <w:b/>
      <w:bCs/>
    </w:rPr>
  </w:style>
  <w:style w:type="character" w:customStyle="1" w:styleId="apple-converted-space">
    <w:name w:val="apple-converted-space"/>
    <w:basedOn w:val="DefaultParagraphFont"/>
    <w:rsid w:val="00F467BB"/>
  </w:style>
  <w:style w:type="character" w:styleId="Emphasis">
    <w:name w:val="Emphasis"/>
    <w:basedOn w:val="DefaultParagraphFont"/>
    <w:uiPriority w:val="20"/>
    <w:qFormat/>
    <w:rsid w:val="00F467BB"/>
    <w:rPr>
      <w:i/>
      <w:iCs/>
    </w:rPr>
  </w:style>
  <w:style w:type="paragraph" w:styleId="Header">
    <w:name w:val="header"/>
    <w:basedOn w:val="Normal"/>
    <w:link w:val="HeaderChar"/>
    <w:uiPriority w:val="99"/>
    <w:unhideWhenUsed/>
    <w:rsid w:val="00F467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7BB"/>
  </w:style>
  <w:style w:type="paragraph" w:styleId="Footer">
    <w:name w:val="footer"/>
    <w:basedOn w:val="Normal"/>
    <w:link w:val="FooterChar"/>
    <w:uiPriority w:val="99"/>
    <w:unhideWhenUsed/>
    <w:rsid w:val="00F467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4525">
      <w:bodyDiv w:val="1"/>
      <w:marLeft w:val="0"/>
      <w:marRight w:val="0"/>
      <w:marTop w:val="0"/>
      <w:marBottom w:val="0"/>
      <w:divBdr>
        <w:top w:val="none" w:sz="0" w:space="0" w:color="auto"/>
        <w:left w:val="none" w:sz="0" w:space="0" w:color="auto"/>
        <w:bottom w:val="none" w:sz="0" w:space="0" w:color="auto"/>
        <w:right w:val="none" w:sz="0" w:space="0" w:color="auto"/>
      </w:divBdr>
    </w:div>
    <w:div w:id="19276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doygun</dc:creator>
  <cp:keywords/>
  <dc:description/>
  <cp:lastModifiedBy>Paulius Beliakov</cp:lastModifiedBy>
  <cp:revision>2</cp:revision>
  <dcterms:created xsi:type="dcterms:W3CDTF">2025-04-30T10:11:00Z</dcterms:created>
  <dcterms:modified xsi:type="dcterms:W3CDTF">2025-04-30T10:11:00Z</dcterms:modified>
</cp:coreProperties>
</file>